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22" w:rsidRDefault="00D8172E" w:rsidP="00D8172E">
      <w:pPr>
        <w:pStyle w:val="a3"/>
        <w:jc w:val="center"/>
        <w:rPr>
          <w:rFonts w:ascii="Times New Roman" w:hAnsi="Times New Roman" w:cs="Times New Roman"/>
          <w:sz w:val="28"/>
          <w:szCs w:val="28"/>
        </w:rPr>
      </w:pPr>
      <w:r>
        <w:rPr>
          <w:rFonts w:ascii="Times New Roman" w:hAnsi="Times New Roman" w:cs="Times New Roman"/>
          <w:sz w:val="28"/>
          <w:szCs w:val="28"/>
        </w:rPr>
        <w:t>В</w:t>
      </w:r>
      <w:r w:rsidR="00097422" w:rsidRPr="00097422">
        <w:rPr>
          <w:rFonts w:ascii="Times New Roman" w:hAnsi="Times New Roman" w:cs="Times New Roman"/>
          <w:sz w:val="28"/>
          <w:szCs w:val="28"/>
        </w:rPr>
        <w:t xml:space="preserve">изначення доступності будівель, в яких розміщуються </w:t>
      </w:r>
    </w:p>
    <w:p w:rsidR="00D8172E" w:rsidRDefault="00097422" w:rsidP="00D8172E">
      <w:pPr>
        <w:pStyle w:val="a3"/>
        <w:jc w:val="center"/>
        <w:rPr>
          <w:rFonts w:ascii="Times New Roman" w:hAnsi="Times New Roman" w:cs="Times New Roman"/>
          <w:sz w:val="28"/>
          <w:szCs w:val="28"/>
        </w:rPr>
      </w:pPr>
      <w:r w:rsidRPr="00097422">
        <w:rPr>
          <w:rFonts w:ascii="Times New Roman" w:hAnsi="Times New Roman" w:cs="Times New Roman"/>
          <w:sz w:val="28"/>
          <w:szCs w:val="28"/>
        </w:rPr>
        <w:t>місцеві державні адміністрації та їх структурні підрозділи</w:t>
      </w:r>
      <w:r w:rsidR="00D8172E">
        <w:rPr>
          <w:rFonts w:ascii="Times New Roman" w:hAnsi="Times New Roman" w:cs="Times New Roman"/>
          <w:sz w:val="28"/>
          <w:szCs w:val="28"/>
        </w:rPr>
        <w:t>,</w:t>
      </w:r>
      <w:r w:rsidR="00D8172E" w:rsidRPr="00D8172E">
        <w:rPr>
          <w:rFonts w:ascii="Times New Roman" w:hAnsi="Times New Roman" w:cs="Times New Roman"/>
          <w:sz w:val="28"/>
          <w:szCs w:val="28"/>
        </w:rPr>
        <w:t xml:space="preserve"> </w:t>
      </w:r>
    </w:p>
    <w:p w:rsidR="00322C01" w:rsidRDefault="00D8172E" w:rsidP="00D8172E">
      <w:pPr>
        <w:pStyle w:val="a3"/>
        <w:jc w:val="center"/>
        <w:rPr>
          <w:rFonts w:ascii="Times New Roman" w:hAnsi="Times New Roman" w:cs="Times New Roman"/>
          <w:sz w:val="28"/>
          <w:szCs w:val="28"/>
        </w:rPr>
      </w:pPr>
      <w:r w:rsidRPr="00097422">
        <w:rPr>
          <w:rFonts w:ascii="Times New Roman" w:hAnsi="Times New Roman" w:cs="Times New Roman"/>
          <w:sz w:val="28"/>
          <w:szCs w:val="28"/>
        </w:rPr>
        <w:t xml:space="preserve">для осіб з інвалідністю та інших </w:t>
      </w:r>
      <w:proofErr w:type="spellStart"/>
      <w:r w:rsidRPr="00097422">
        <w:rPr>
          <w:rFonts w:ascii="Times New Roman" w:hAnsi="Times New Roman" w:cs="Times New Roman"/>
          <w:sz w:val="28"/>
          <w:szCs w:val="28"/>
        </w:rPr>
        <w:t>маломобільних</w:t>
      </w:r>
      <w:proofErr w:type="spellEnd"/>
      <w:r w:rsidRPr="00097422">
        <w:rPr>
          <w:rFonts w:ascii="Times New Roman" w:hAnsi="Times New Roman" w:cs="Times New Roman"/>
          <w:sz w:val="28"/>
          <w:szCs w:val="28"/>
        </w:rPr>
        <w:t xml:space="preserve"> груп населення</w:t>
      </w:r>
    </w:p>
    <w:p w:rsidR="00097422" w:rsidRDefault="00097422" w:rsidP="00097422">
      <w:pPr>
        <w:pStyle w:val="a3"/>
        <w:jc w:val="center"/>
        <w:rPr>
          <w:rFonts w:ascii="Times New Roman" w:hAnsi="Times New Roman" w:cs="Times New Roman"/>
          <w:sz w:val="28"/>
          <w:szCs w:val="28"/>
        </w:rPr>
      </w:pPr>
    </w:p>
    <w:tbl>
      <w:tblPr>
        <w:tblStyle w:val="a4"/>
        <w:tblW w:w="9889" w:type="dxa"/>
        <w:tblLook w:val="04A0"/>
      </w:tblPr>
      <w:tblGrid>
        <w:gridCol w:w="1101"/>
        <w:gridCol w:w="4252"/>
        <w:gridCol w:w="4536"/>
      </w:tblGrid>
      <w:tr w:rsidR="00097422" w:rsidTr="00097422">
        <w:tc>
          <w:tcPr>
            <w:tcW w:w="9889" w:type="dxa"/>
            <w:gridSpan w:val="3"/>
          </w:tcPr>
          <w:p w:rsidR="00097422" w:rsidRDefault="005C5AAA" w:rsidP="00097422">
            <w:pPr>
              <w:pStyle w:val="a3"/>
              <w:jc w:val="center"/>
              <w:rPr>
                <w:rFonts w:ascii="Times New Roman" w:hAnsi="Times New Roman" w:cs="Times New Roman"/>
                <w:sz w:val="28"/>
                <w:szCs w:val="28"/>
              </w:rPr>
            </w:pPr>
            <w:r>
              <w:rPr>
                <w:rFonts w:ascii="Times New Roman" w:hAnsi="Times New Roman" w:cs="Times New Roman"/>
                <w:sz w:val="28"/>
                <w:szCs w:val="28"/>
              </w:rPr>
              <w:t xml:space="preserve">Адміністративна будівля міської ради, де розташований відділ соціального захисту населення </w:t>
            </w:r>
            <w:r w:rsidR="00097422">
              <w:rPr>
                <w:rFonts w:ascii="Times New Roman" w:hAnsi="Times New Roman" w:cs="Times New Roman"/>
                <w:sz w:val="28"/>
                <w:szCs w:val="28"/>
              </w:rPr>
              <w:t xml:space="preserve"> </w:t>
            </w:r>
            <w:r w:rsidR="00F836DD">
              <w:rPr>
                <w:rFonts w:ascii="Times New Roman" w:hAnsi="Times New Roman" w:cs="Times New Roman"/>
                <w:sz w:val="28"/>
                <w:szCs w:val="28"/>
              </w:rPr>
              <w:t>(1 поверх)</w:t>
            </w:r>
          </w:p>
        </w:tc>
      </w:tr>
      <w:tr w:rsidR="00097422" w:rsidTr="00097422">
        <w:tc>
          <w:tcPr>
            <w:tcW w:w="1101" w:type="dxa"/>
          </w:tcPr>
          <w:p w:rsidR="00097422" w:rsidRDefault="00097422" w:rsidP="00097422">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4252" w:type="dxa"/>
          </w:tcPr>
          <w:p w:rsidR="00097422" w:rsidRDefault="00097422" w:rsidP="00097422">
            <w:pPr>
              <w:pStyle w:val="a3"/>
              <w:rPr>
                <w:rFonts w:ascii="Times New Roman" w:hAnsi="Times New Roman" w:cs="Times New Roman"/>
                <w:sz w:val="28"/>
                <w:szCs w:val="28"/>
              </w:rPr>
            </w:pPr>
            <w:r>
              <w:rPr>
                <w:rFonts w:ascii="Times New Roman" w:hAnsi="Times New Roman" w:cs="Times New Roman"/>
                <w:sz w:val="28"/>
                <w:szCs w:val="28"/>
              </w:rPr>
              <w:t>Дата проведення обстеження</w:t>
            </w:r>
          </w:p>
        </w:tc>
        <w:tc>
          <w:tcPr>
            <w:tcW w:w="4536" w:type="dxa"/>
          </w:tcPr>
          <w:p w:rsidR="00097422" w:rsidRDefault="00EC1B41" w:rsidP="00097422">
            <w:pPr>
              <w:pStyle w:val="a3"/>
              <w:jc w:val="center"/>
              <w:rPr>
                <w:rFonts w:ascii="Times New Roman" w:hAnsi="Times New Roman" w:cs="Times New Roman"/>
                <w:sz w:val="28"/>
                <w:szCs w:val="28"/>
              </w:rPr>
            </w:pPr>
            <w:r>
              <w:rPr>
                <w:rFonts w:ascii="Times New Roman" w:hAnsi="Times New Roman" w:cs="Times New Roman"/>
                <w:sz w:val="28"/>
                <w:szCs w:val="28"/>
              </w:rPr>
              <w:t>05 січня 2022 року</w:t>
            </w:r>
          </w:p>
        </w:tc>
      </w:tr>
      <w:tr w:rsidR="00097422" w:rsidTr="00097422">
        <w:tc>
          <w:tcPr>
            <w:tcW w:w="1101" w:type="dxa"/>
          </w:tcPr>
          <w:p w:rsidR="00097422" w:rsidRDefault="00097422" w:rsidP="00097422">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4252" w:type="dxa"/>
          </w:tcPr>
          <w:p w:rsidR="00097422" w:rsidRDefault="00097422" w:rsidP="00097422">
            <w:pPr>
              <w:pStyle w:val="a3"/>
              <w:rPr>
                <w:rFonts w:ascii="Times New Roman" w:hAnsi="Times New Roman" w:cs="Times New Roman"/>
                <w:sz w:val="28"/>
                <w:szCs w:val="28"/>
              </w:rPr>
            </w:pPr>
            <w:r>
              <w:rPr>
                <w:rFonts w:ascii="Times New Roman" w:hAnsi="Times New Roman" w:cs="Times New Roman"/>
                <w:sz w:val="28"/>
                <w:szCs w:val="28"/>
              </w:rPr>
              <w:t xml:space="preserve">Адреса розташування об’єкта </w:t>
            </w:r>
          </w:p>
        </w:tc>
        <w:tc>
          <w:tcPr>
            <w:tcW w:w="4536" w:type="dxa"/>
          </w:tcPr>
          <w:p w:rsidR="00097422" w:rsidRDefault="00CA435C" w:rsidP="00F836DD">
            <w:pPr>
              <w:pStyle w:val="a3"/>
              <w:jc w:val="center"/>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Баранівка</w:t>
            </w:r>
            <w:proofErr w:type="spellEnd"/>
            <w:r>
              <w:rPr>
                <w:rFonts w:ascii="Times New Roman" w:hAnsi="Times New Roman" w:cs="Times New Roman"/>
                <w:sz w:val="28"/>
                <w:szCs w:val="28"/>
              </w:rPr>
              <w:t>, вул. Соборна, 20</w:t>
            </w:r>
            <w:r w:rsidR="00EC1B41">
              <w:rPr>
                <w:rFonts w:ascii="Times New Roman" w:hAnsi="Times New Roman" w:cs="Times New Roman"/>
                <w:sz w:val="28"/>
                <w:szCs w:val="28"/>
              </w:rPr>
              <w:t xml:space="preserve"> </w:t>
            </w:r>
          </w:p>
        </w:tc>
      </w:tr>
    </w:tbl>
    <w:p w:rsidR="00097422" w:rsidRPr="00097422" w:rsidRDefault="00097422" w:rsidP="00097422">
      <w:pPr>
        <w:pStyle w:val="a3"/>
        <w:rPr>
          <w:rFonts w:ascii="Times New Roman" w:hAnsi="Times New Roman" w:cs="Times New Roman"/>
          <w:sz w:val="28"/>
          <w:szCs w:val="28"/>
        </w:rPr>
      </w:pPr>
    </w:p>
    <w:tbl>
      <w:tblPr>
        <w:tblStyle w:val="a4"/>
        <w:tblW w:w="9889" w:type="dxa"/>
        <w:tblLayout w:type="fixed"/>
        <w:tblLook w:val="04A0"/>
      </w:tblPr>
      <w:tblGrid>
        <w:gridCol w:w="599"/>
        <w:gridCol w:w="6739"/>
        <w:gridCol w:w="1418"/>
        <w:gridCol w:w="1133"/>
      </w:tblGrid>
      <w:tr w:rsidR="00EF0081" w:rsidTr="006A41C0">
        <w:tc>
          <w:tcPr>
            <w:tcW w:w="599" w:type="dxa"/>
          </w:tcPr>
          <w:p w:rsidR="00097422" w:rsidRDefault="00097422">
            <w:pPr>
              <w:rPr>
                <w:rFonts w:ascii="Times New Roman" w:hAnsi="Times New Roman" w:cs="Times New Roman"/>
                <w:sz w:val="28"/>
                <w:szCs w:val="28"/>
              </w:rPr>
            </w:pPr>
            <w:r>
              <w:rPr>
                <w:rFonts w:ascii="Times New Roman" w:hAnsi="Times New Roman" w:cs="Times New Roman"/>
                <w:sz w:val="28"/>
                <w:szCs w:val="28"/>
              </w:rPr>
              <w:t>№ з/п</w:t>
            </w:r>
          </w:p>
        </w:tc>
        <w:tc>
          <w:tcPr>
            <w:tcW w:w="6739" w:type="dxa"/>
          </w:tcPr>
          <w:p w:rsidR="00097422" w:rsidRDefault="00097422" w:rsidP="00097422">
            <w:pPr>
              <w:pStyle w:val="a3"/>
              <w:rPr>
                <w:rFonts w:ascii="Times New Roman" w:hAnsi="Times New Roman" w:cs="Times New Roman"/>
                <w:sz w:val="28"/>
                <w:szCs w:val="28"/>
              </w:rPr>
            </w:pPr>
            <w:r>
              <w:rPr>
                <w:rFonts w:ascii="Times New Roman" w:hAnsi="Times New Roman" w:cs="Times New Roman"/>
                <w:sz w:val="28"/>
                <w:szCs w:val="28"/>
              </w:rPr>
              <w:t xml:space="preserve">Критерії доступності будівель, </w:t>
            </w:r>
            <w:r w:rsidRPr="00097422">
              <w:rPr>
                <w:rFonts w:ascii="Times New Roman" w:hAnsi="Times New Roman" w:cs="Times New Roman"/>
                <w:sz w:val="28"/>
                <w:szCs w:val="28"/>
              </w:rPr>
              <w:t>в яких розміщуються місцеві державні адміністрації та їх структурні підрозділи</w:t>
            </w:r>
            <w:r w:rsidR="004C47D7">
              <w:rPr>
                <w:rFonts w:ascii="Times New Roman" w:hAnsi="Times New Roman" w:cs="Times New Roman"/>
                <w:sz w:val="28"/>
                <w:szCs w:val="28"/>
              </w:rPr>
              <w:t>,</w:t>
            </w:r>
            <w:r w:rsidRPr="00097422">
              <w:rPr>
                <w:rFonts w:ascii="Times New Roman" w:hAnsi="Times New Roman" w:cs="Times New Roman"/>
                <w:sz w:val="28"/>
                <w:szCs w:val="28"/>
              </w:rPr>
              <w:t xml:space="preserve"> для осіб з інвалідністю та інших </w:t>
            </w:r>
            <w:proofErr w:type="spellStart"/>
            <w:r w:rsidRPr="00097422">
              <w:rPr>
                <w:rFonts w:ascii="Times New Roman" w:hAnsi="Times New Roman" w:cs="Times New Roman"/>
                <w:sz w:val="28"/>
                <w:szCs w:val="28"/>
              </w:rPr>
              <w:t>маломобільних</w:t>
            </w:r>
            <w:proofErr w:type="spellEnd"/>
            <w:r w:rsidRPr="00097422">
              <w:rPr>
                <w:rFonts w:ascii="Times New Roman" w:hAnsi="Times New Roman" w:cs="Times New Roman"/>
                <w:sz w:val="28"/>
                <w:szCs w:val="28"/>
              </w:rPr>
              <w:t xml:space="preserve"> груп населення</w:t>
            </w:r>
            <w:r>
              <w:rPr>
                <w:rFonts w:ascii="Times New Roman" w:hAnsi="Times New Roman" w:cs="Times New Roman"/>
                <w:sz w:val="28"/>
                <w:szCs w:val="28"/>
              </w:rPr>
              <w:t xml:space="preserve"> </w:t>
            </w:r>
          </w:p>
        </w:tc>
        <w:tc>
          <w:tcPr>
            <w:tcW w:w="1418" w:type="dxa"/>
          </w:tcPr>
          <w:p w:rsidR="00097422" w:rsidRDefault="00097422">
            <w:pPr>
              <w:rPr>
                <w:rFonts w:ascii="Times New Roman" w:hAnsi="Times New Roman" w:cs="Times New Roman"/>
                <w:sz w:val="28"/>
                <w:szCs w:val="28"/>
              </w:rPr>
            </w:pPr>
            <w:r>
              <w:rPr>
                <w:rFonts w:ascii="Times New Roman" w:hAnsi="Times New Roman" w:cs="Times New Roman"/>
                <w:sz w:val="28"/>
                <w:szCs w:val="28"/>
              </w:rPr>
              <w:t xml:space="preserve">Відповідність критеріям </w:t>
            </w:r>
          </w:p>
          <w:p w:rsidR="00097422" w:rsidRDefault="00097422">
            <w:pPr>
              <w:rPr>
                <w:rFonts w:ascii="Times New Roman" w:hAnsi="Times New Roman" w:cs="Times New Roman"/>
                <w:sz w:val="28"/>
                <w:szCs w:val="28"/>
              </w:rPr>
            </w:pPr>
            <w:r>
              <w:rPr>
                <w:rFonts w:ascii="Times New Roman" w:hAnsi="Times New Roman" w:cs="Times New Roman"/>
                <w:sz w:val="28"/>
                <w:szCs w:val="28"/>
              </w:rPr>
              <w:t>(так або ні)</w:t>
            </w:r>
          </w:p>
        </w:tc>
        <w:tc>
          <w:tcPr>
            <w:tcW w:w="1133" w:type="dxa"/>
          </w:tcPr>
          <w:p w:rsidR="00097422" w:rsidRDefault="00097422">
            <w:pPr>
              <w:rPr>
                <w:rFonts w:ascii="Times New Roman" w:hAnsi="Times New Roman" w:cs="Times New Roman"/>
                <w:sz w:val="28"/>
                <w:szCs w:val="28"/>
              </w:rPr>
            </w:pPr>
            <w:r>
              <w:rPr>
                <w:rFonts w:ascii="Times New Roman" w:hAnsi="Times New Roman" w:cs="Times New Roman"/>
                <w:sz w:val="28"/>
                <w:szCs w:val="28"/>
              </w:rPr>
              <w:t>примітки</w:t>
            </w:r>
          </w:p>
        </w:tc>
      </w:tr>
      <w:tr w:rsidR="005B32C7" w:rsidTr="006A41C0">
        <w:tc>
          <w:tcPr>
            <w:tcW w:w="599" w:type="dxa"/>
            <w:vMerge w:val="restart"/>
          </w:tcPr>
          <w:p w:rsidR="005B32C7" w:rsidRPr="005B32C7" w:rsidRDefault="005B32C7">
            <w:pPr>
              <w:rPr>
                <w:rFonts w:ascii="Times New Roman" w:hAnsi="Times New Roman" w:cs="Times New Roman"/>
                <w:b/>
                <w:sz w:val="28"/>
                <w:szCs w:val="28"/>
              </w:rPr>
            </w:pPr>
            <w:r w:rsidRPr="005B32C7">
              <w:rPr>
                <w:rFonts w:ascii="Times New Roman" w:hAnsi="Times New Roman" w:cs="Times New Roman"/>
                <w:b/>
                <w:sz w:val="28"/>
                <w:szCs w:val="28"/>
              </w:rPr>
              <w:t>1</w:t>
            </w:r>
          </w:p>
        </w:tc>
        <w:tc>
          <w:tcPr>
            <w:tcW w:w="6739" w:type="dxa"/>
          </w:tcPr>
          <w:p w:rsidR="005B32C7" w:rsidRPr="00EF0081" w:rsidRDefault="005B32C7">
            <w:pPr>
              <w:rPr>
                <w:rFonts w:ascii="Times New Roman" w:hAnsi="Times New Roman" w:cs="Times New Roman"/>
                <w:b/>
                <w:sz w:val="28"/>
                <w:szCs w:val="28"/>
              </w:rPr>
            </w:pPr>
            <w:r w:rsidRPr="00EF0081">
              <w:rPr>
                <w:rFonts w:ascii="Times New Roman" w:hAnsi="Times New Roman" w:cs="Times New Roman"/>
                <w:b/>
                <w:sz w:val="28"/>
                <w:szCs w:val="28"/>
              </w:rPr>
              <w:t>Шляхи руху до будівлі:</w:t>
            </w:r>
          </w:p>
        </w:tc>
        <w:tc>
          <w:tcPr>
            <w:tcW w:w="1418" w:type="dxa"/>
          </w:tcPr>
          <w:p w:rsidR="005B32C7" w:rsidRDefault="005B32C7">
            <w:pPr>
              <w:rPr>
                <w:rFonts w:ascii="Times New Roman" w:hAnsi="Times New Roman" w:cs="Times New Roman"/>
                <w:sz w:val="28"/>
                <w:szCs w:val="28"/>
              </w:rPr>
            </w:pP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1) Місця для безоплатного паркування транспортних засобів, якими керують особи з інвалідністю або водії, які перевозять осіб з інвалідністю знаходяться на відстані не далі ніж 50 метрів від входу до будівлі або споруди, таких місць не менше ніж 10 відсотків від загальної кількості (але не менше ніж одне місце), місця позначені дорожніми знаками та горизонтальною розміткою з піктограмами міжнародного символу доступності;</w:t>
            </w:r>
          </w:p>
        </w:tc>
        <w:tc>
          <w:tcPr>
            <w:tcW w:w="1418" w:type="dxa"/>
          </w:tcPr>
          <w:p w:rsidR="005B32C7" w:rsidRDefault="005B32C7">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r>
              <w:rPr>
                <w:rFonts w:ascii="Times New Roman" w:hAnsi="Times New Roman" w:cs="Times New Roman"/>
                <w:sz w:val="28"/>
                <w:szCs w:val="28"/>
              </w:rPr>
              <w:t>Так</w:t>
            </w: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r>
              <w:rPr>
                <w:rFonts w:ascii="Times New Roman" w:hAnsi="Times New Roman" w:cs="Times New Roman"/>
                <w:sz w:val="28"/>
                <w:szCs w:val="28"/>
              </w:rPr>
              <w:t>Ні</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2) Ширина входу на прилеглу територію та ширина дверей, хвірток (у разі їх наявності) становить не менше 0,9 метра;</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3) Ширина пішохідних доріжок до будівлі становить не менше 1,8 метра;</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 xml:space="preserve">4) Покриття пішохідних доріжок, тротуарів і пандусів рівне (без вибоїн, без застосування у якості шару покриття насипних або </w:t>
            </w:r>
            <w:proofErr w:type="spellStart"/>
            <w:r w:rsidR="004C47D7">
              <w:rPr>
                <w:rFonts w:ascii="Times New Roman" w:hAnsi="Times New Roman" w:cs="Times New Roman"/>
                <w:sz w:val="28"/>
                <w:szCs w:val="28"/>
              </w:rPr>
              <w:t>крупно</w:t>
            </w:r>
            <w:r>
              <w:rPr>
                <w:rFonts w:ascii="Times New Roman" w:hAnsi="Times New Roman" w:cs="Times New Roman"/>
                <w:sz w:val="28"/>
                <w:szCs w:val="28"/>
              </w:rPr>
              <w:t>структурних</w:t>
            </w:r>
            <w:proofErr w:type="spellEnd"/>
            <w:r>
              <w:rPr>
                <w:rFonts w:ascii="Times New Roman" w:hAnsi="Times New Roman" w:cs="Times New Roman"/>
                <w:sz w:val="28"/>
                <w:szCs w:val="28"/>
              </w:rPr>
              <w:t xml:space="preserve"> матеріалів, що перешкоджають пересуванню на кріслах колісних або з милицями);</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 xml:space="preserve">5) У разі наявності на прилеглій території та/або на шляху до будівлі сходів, вони </w:t>
            </w:r>
            <w:proofErr w:type="spellStart"/>
            <w:r w:rsidR="004C47D7">
              <w:rPr>
                <w:rFonts w:ascii="Times New Roman" w:hAnsi="Times New Roman" w:cs="Times New Roman"/>
                <w:sz w:val="28"/>
                <w:szCs w:val="28"/>
              </w:rPr>
              <w:t>про</w:t>
            </w:r>
            <w:r>
              <w:rPr>
                <w:rFonts w:ascii="Times New Roman" w:hAnsi="Times New Roman" w:cs="Times New Roman"/>
                <w:sz w:val="28"/>
                <w:szCs w:val="28"/>
              </w:rPr>
              <w:t>дубльовані</w:t>
            </w:r>
            <w:proofErr w:type="spellEnd"/>
            <w:r>
              <w:rPr>
                <w:rFonts w:ascii="Times New Roman" w:hAnsi="Times New Roman" w:cs="Times New Roman"/>
                <w:sz w:val="28"/>
                <w:szCs w:val="28"/>
              </w:rPr>
              <w:t xml:space="preserve"> панд</w:t>
            </w:r>
            <w:r w:rsidR="004C47D7">
              <w:rPr>
                <w:rFonts w:ascii="Times New Roman" w:hAnsi="Times New Roman" w:cs="Times New Roman"/>
                <w:sz w:val="28"/>
                <w:szCs w:val="28"/>
              </w:rPr>
              <w:t>усом. Нахил пандусу становить не</w:t>
            </w:r>
            <w:r>
              <w:rPr>
                <w:rFonts w:ascii="Times New Roman" w:hAnsi="Times New Roman" w:cs="Times New Roman"/>
                <w:sz w:val="28"/>
                <w:szCs w:val="28"/>
              </w:rPr>
              <w:t xml:space="preserve"> більше ніж </w:t>
            </w:r>
            <w:r w:rsidR="004C47D7">
              <w:rPr>
                <w:rFonts w:ascii="Times New Roman" w:hAnsi="Times New Roman" w:cs="Times New Roman"/>
                <w:sz w:val="28"/>
                <w:szCs w:val="28"/>
              </w:rPr>
              <w:t xml:space="preserve">     </w:t>
            </w:r>
            <w:r>
              <w:rPr>
                <w:rFonts w:ascii="Times New Roman" w:hAnsi="Times New Roman" w:cs="Times New Roman"/>
                <w:sz w:val="28"/>
                <w:szCs w:val="28"/>
              </w:rPr>
              <w:t>8 відсоткі</w:t>
            </w:r>
            <w:r w:rsidR="004C47D7">
              <w:rPr>
                <w:rFonts w:ascii="Times New Roman" w:hAnsi="Times New Roman" w:cs="Times New Roman"/>
                <w:sz w:val="28"/>
                <w:szCs w:val="28"/>
              </w:rPr>
              <w:t xml:space="preserve">в (на 1 метр довжини не більше                             </w:t>
            </w:r>
            <w:r>
              <w:rPr>
                <w:rFonts w:ascii="Times New Roman" w:hAnsi="Times New Roman" w:cs="Times New Roman"/>
                <w:sz w:val="28"/>
                <w:szCs w:val="28"/>
              </w:rPr>
              <w:t>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w:t>
            </w:r>
            <w:r w:rsidR="00A92467">
              <w:rPr>
                <w:rFonts w:ascii="Times New Roman" w:hAnsi="Times New Roman" w:cs="Times New Roman"/>
                <w:sz w:val="28"/>
                <w:szCs w:val="28"/>
              </w:rPr>
              <w:t xml:space="preserve"> </w:t>
            </w:r>
            <w:r>
              <w:rPr>
                <w:rFonts w:ascii="Times New Roman" w:hAnsi="Times New Roman" w:cs="Times New Roman"/>
                <w:sz w:val="28"/>
                <w:szCs w:val="28"/>
              </w:rPr>
              <w:t xml:space="preserve">що відповідають вимогам державних стандартів, які встановлюють вимоги до зазначеного обладнання. </w:t>
            </w:r>
          </w:p>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 xml:space="preserve">Всі сходи в межах одного маршу однакові за формою </w:t>
            </w:r>
            <w:r>
              <w:rPr>
                <w:rFonts w:ascii="Times New Roman" w:hAnsi="Times New Roman" w:cs="Times New Roman"/>
                <w:sz w:val="28"/>
                <w:szCs w:val="28"/>
              </w:rPr>
              <w:lastRenderedPageBreak/>
              <w:t>в плані, за шириною сходинки і висотою підйому сходинок;</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lastRenderedPageBreak/>
              <w:t>Так</w:t>
            </w:r>
          </w:p>
          <w:p w:rsidR="00EC1B41" w:rsidRDefault="00EC1B41">
            <w:pPr>
              <w:rPr>
                <w:rFonts w:ascii="Times New Roman" w:hAnsi="Times New Roman" w:cs="Times New Roman"/>
                <w:sz w:val="28"/>
                <w:szCs w:val="28"/>
              </w:rPr>
            </w:pP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6) Систему засобів орієнтації та інформаційної підтримки, а саме тактильні та візуальні елементи доступності передбачені на всіх шляхах руху до будівель і споруд (включаючи позначення кольором сходинок, порогів,</w:t>
            </w:r>
            <w:r w:rsidR="004C47D7">
              <w:rPr>
                <w:rFonts w:ascii="Times New Roman" w:hAnsi="Times New Roman" w:cs="Times New Roman"/>
                <w:sz w:val="28"/>
                <w:szCs w:val="28"/>
              </w:rPr>
              <w:t xml:space="preserve"> </w:t>
            </w:r>
            <w:r>
              <w:rPr>
                <w:rFonts w:ascii="Times New Roman" w:hAnsi="Times New Roman" w:cs="Times New Roman"/>
                <w:sz w:val="28"/>
                <w:szCs w:val="28"/>
              </w:rPr>
              <w:t xml:space="preserve">інших об’єктів); </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Ні</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 xml:space="preserve">7) Міжнародним символом доступності позначено шляхи/напрями, доступні й безпечні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Ні</w:t>
            </w:r>
          </w:p>
        </w:tc>
        <w:tc>
          <w:tcPr>
            <w:tcW w:w="1133" w:type="dxa"/>
          </w:tcPr>
          <w:p w:rsidR="005B32C7" w:rsidRDefault="005B32C7">
            <w:pPr>
              <w:rPr>
                <w:rFonts w:ascii="Times New Roman" w:hAnsi="Times New Roman" w:cs="Times New Roman"/>
                <w:sz w:val="28"/>
                <w:szCs w:val="28"/>
              </w:rPr>
            </w:pPr>
          </w:p>
        </w:tc>
      </w:tr>
      <w:tr w:rsidR="006A353F" w:rsidTr="006A41C0">
        <w:tc>
          <w:tcPr>
            <w:tcW w:w="599" w:type="dxa"/>
            <w:vMerge w:val="restart"/>
          </w:tcPr>
          <w:p w:rsidR="006A353F" w:rsidRPr="005B32C7" w:rsidRDefault="006A353F">
            <w:pPr>
              <w:rPr>
                <w:rFonts w:ascii="Times New Roman" w:hAnsi="Times New Roman" w:cs="Times New Roman"/>
                <w:b/>
                <w:sz w:val="28"/>
                <w:szCs w:val="28"/>
              </w:rPr>
            </w:pPr>
            <w:r w:rsidRPr="005B32C7">
              <w:rPr>
                <w:rFonts w:ascii="Times New Roman" w:hAnsi="Times New Roman" w:cs="Times New Roman"/>
                <w:b/>
                <w:sz w:val="28"/>
                <w:szCs w:val="28"/>
              </w:rPr>
              <w:t>2</w:t>
            </w:r>
          </w:p>
        </w:tc>
        <w:tc>
          <w:tcPr>
            <w:tcW w:w="6739" w:type="dxa"/>
          </w:tcPr>
          <w:p w:rsidR="006A353F" w:rsidRPr="005B32C7" w:rsidRDefault="006A353F" w:rsidP="00EF0081">
            <w:pPr>
              <w:jc w:val="both"/>
              <w:rPr>
                <w:rFonts w:ascii="Times New Roman" w:hAnsi="Times New Roman" w:cs="Times New Roman"/>
                <w:b/>
                <w:sz w:val="28"/>
                <w:szCs w:val="28"/>
              </w:rPr>
            </w:pPr>
            <w:r w:rsidRPr="005B32C7">
              <w:rPr>
                <w:rFonts w:ascii="Times New Roman" w:hAnsi="Times New Roman" w:cs="Times New Roman"/>
                <w:b/>
                <w:sz w:val="28"/>
                <w:szCs w:val="28"/>
              </w:rPr>
              <w:t>Вхідна група</w:t>
            </w:r>
          </w:p>
        </w:tc>
        <w:tc>
          <w:tcPr>
            <w:tcW w:w="1418" w:type="dxa"/>
          </w:tcPr>
          <w:p w:rsidR="006A353F" w:rsidRDefault="006A353F">
            <w:pPr>
              <w:rPr>
                <w:rFonts w:ascii="Times New Roman" w:hAnsi="Times New Roman" w:cs="Times New Roman"/>
                <w:sz w:val="28"/>
                <w:szCs w:val="28"/>
              </w:rPr>
            </w:pP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 xml:space="preserve">1) У разі наявності на вході до будівлі або споруди сходів, вони </w:t>
            </w:r>
            <w:proofErr w:type="spellStart"/>
            <w:r w:rsidR="004C47D7">
              <w:rPr>
                <w:rFonts w:ascii="Times New Roman" w:hAnsi="Times New Roman" w:cs="Times New Roman"/>
                <w:sz w:val="28"/>
                <w:szCs w:val="28"/>
              </w:rPr>
              <w:t>про</w:t>
            </w:r>
            <w:r>
              <w:rPr>
                <w:rFonts w:ascii="Times New Roman" w:hAnsi="Times New Roman" w:cs="Times New Roman"/>
                <w:sz w:val="28"/>
                <w:szCs w:val="28"/>
              </w:rPr>
              <w:t>дубльовані</w:t>
            </w:r>
            <w:proofErr w:type="spellEnd"/>
            <w:r>
              <w:rPr>
                <w:rFonts w:ascii="Times New Roman" w:hAnsi="Times New Roman" w:cs="Times New Roman"/>
                <w:sz w:val="28"/>
                <w:szCs w:val="28"/>
              </w:rPr>
              <w:t xml:space="preserve"> пандусом. </w:t>
            </w:r>
            <w:r w:rsidR="004C47D7">
              <w:rPr>
                <w:rFonts w:ascii="Times New Roman" w:hAnsi="Times New Roman" w:cs="Times New Roman"/>
                <w:sz w:val="28"/>
                <w:szCs w:val="28"/>
              </w:rPr>
              <w:t>Нахил пандусу становить не</w:t>
            </w:r>
            <w:r>
              <w:rPr>
                <w:rFonts w:ascii="Times New Roman" w:hAnsi="Times New Roman" w:cs="Times New Roman"/>
                <w:sz w:val="28"/>
                <w:szCs w:val="28"/>
              </w:rPr>
              <w:t xml:space="preserve"> більше ніж 8 відсоткі</w:t>
            </w:r>
            <w:r w:rsidR="00A92467">
              <w:rPr>
                <w:rFonts w:ascii="Times New Roman" w:hAnsi="Times New Roman" w:cs="Times New Roman"/>
                <w:sz w:val="28"/>
                <w:szCs w:val="28"/>
              </w:rPr>
              <w:t xml:space="preserve">в (на 1 метр довжини не більше </w:t>
            </w:r>
            <w:r>
              <w:rPr>
                <w:rFonts w:ascii="Times New Roman" w:hAnsi="Times New Roman" w:cs="Times New Roman"/>
                <w:sz w:val="28"/>
                <w:szCs w:val="28"/>
              </w:rPr>
              <w:t>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w:t>
            </w:r>
            <w:r w:rsidR="00A92467">
              <w:rPr>
                <w:rFonts w:ascii="Times New Roman" w:hAnsi="Times New Roman" w:cs="Times New Roman"/>
                <w:sz w:val="28"/>
                <w:szCs w:val="28"/>
              </w:rPr>
              <w:t xml:space="preserve"> </w:t>
            </w:r>
            <w:r>
              <w:rPr>
                <w:rFonts w:ascii="Times New Roman" w:hAnsi="Times New Roman" w:cs="Times New Roman"/>
                <w:sz w:val="28"/>
                <w:szCs w:val="28"/>
              </w:rPr>
              <w:t>що відповідають вимогам державних стандартів, які встановлюють вимоги до зазначеного обладнання.</w:t>
            </w:r>
          </w:p>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Всі сходи в межах одного маршу однакові за формою в плані, за шириною сходинки і висотою підйому сходинок;</w:t>
            </w:r>
          </w:p>
        </w:tc>
        <w:tc>
          <w:tcPr>
            <w:tcW w:w="1418" w:type="dxa"/>
          </w:tcPr>
          <w:p w:rsidR="006A353F" w:rsidRPr="00E03411" w:rsidRDefault="00EC1B41">
            <w:pPr>
              <w:rPr>
                <w:rFonts w:ascii="Times New Roman" w:hAnsi="Times New Roman" w:cs="Times New Roman"/>
                <w:sz w:val="28"/>
                <w:szCs w:val="28"/>
              </w:rPr>
            </w:pPr>
            <w:r w:rsidRPr="00E03411">
              <w:rPr>
                <w:rFonts w:ascii="Times New Roman" w:hAnsi="Times New Roman" w:cs="Times New Roman"/>
                <w:sz w:val="28"/>
                <w:szCs w:val="28"/>
              </w:rPr>
              <w:t xml:space="preserve">Так </w:t>
            </w:r>
          </w:p>
        </w:tc>
        <w:tc>
          <w:tcPr>
            <w:tcW w:w="1133" w:type="dxa"/>
          </w:tcPr>
          <w:p w:rsidR="006A353F" w:rsidRDefault="00F836DD" w:rsidP="00F836DD">
            <w:pPr>
              <w:rPr>
                <w:rFonts w:ascii="Times New Roman" w:hAnsi="Times New Roman" w:cs="Times New Roman"/>
                <w:sz w:val="28"/>
                <w:szCs w:val="28"/>
              </w:rPr>
            </w:pPr>
            <w:r>
              <w:rPr>
                <w:rFonts w:ascii="Times New Roman" w:hAnsi="Times New Roman" w:cs="Times New Roman"/>
                <w:sz w:val="28"/>
                <w:szCs w:val="28"/>
              </w:rPr>
              <w:t>Пандус з</w:t>
            </w:r>
            <w:r w:rsidR="00E03411">
              <w:rPr>
                <w:rFonts w:ascii="Times New Roman" w:hAnsi="Times New Roman" w:cs="Times New Roman"/>
                <w:sz w:val="28"/>
                <w:szCs w:val="28"/>
              </w:rPr>
              <w:t xml:space="preserve"> бокової сторони</w:t>
            </w: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EC1B41" w:rsidRDefault="006A353F" w:rsidP="00EF0081">
            <w:pPr>
              <w:jc w:val="both"/>
              <w:rPr>
                <w:rFonts w:ascii="Times New Roman" w:hAnsi="Times New Roman" w:cs="Times New Roman"/>
                <w:sz w:val="28"/>
                <w:szCs w:val="28"/>
              </w:rPr>
            </w:pPr>
            <w:r>
              <w:rPr>
                <w:rFonts w:ascii="Times New Roman" w:hAnsi="Times New Roman" w:cs="Times New Roman"/>
                <w:sz w:val="28"/>
                <w:szCs w:val="28"/>
              </w:rPr>
              <w:t xml:space="preserve">2) Дверні отвори без порогів і перепадів висот, ширина дверних отворів становить не менше ніж </w:t>
            </w:r>
            <w:r w:rsidR="00E36808">
              <w:rPr>
                <w:rFonts w:ascii="Times New Roman" w:hAnsi="Times New Roman" w:cs="Times New Roman"/>
                <w:sz w:val="28"/>
                <w:szCs w:val="28"/>
              </w:rPr>
              <w:t xml:space="preserve">            </w:t>
            </w:r>
            <w:r>
              <w:rPr>
                <w:rFonts w:ascii="Times New Roman" w:hAnsi="Times New Roman" w:cs="Times New Roman"/>
                <w:sz w:val="28"/>
                <w:szCs w:val="28"/>
              </w:rPr>
              <w:t xml:space="preserve">0,9 метра. За наявності порогів висота кожного елемента порога не перевищує 0,02 м. </w:t>
            </w:r>
          </w:p>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Кути порогів заокруглені. Усі пороги контрастно виділені;</w:t>
            </w:r>
          </w:p>
        </w:tc>
        <w:tc>
          <w:tcPr>
            <w:tcW w:w="1418" w:type="dxa"/>
          </w:tcPr>
          <w:p w:rsidR="006A353F" w:rsidRDefault="00EC1B41">
            <w:pPr>
              <w:rPr>
                <w:rFonts w:ascii="Times New Roman" w:hAnsi="Times New Roman" w:cs="Times New Roman"/>
                <w:sz w:val="28"/>
                <w:szCs w:val="28"/>
              </w:rPr>
            </w:pPr>
            <w:r>
              <w:rPr>
                <w:rFonts w:ascii="Times New Roman" w:hAnsi="Times New Roman" w:cs="Times New Roman"/>
                <w:sz w:val="28"/>
                <w:szCs w:val="28"/>
              </w:rPr>
              <w:t>Так</w:t>
            </w: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3) Розміри в плані тамбура (у разі його наявності) становлять не менше 1,5х1,5м (або такі, що дозволяють маневрувати кріслу колісному);</w:t>
            </w:r>
          </w:p>
        </w:tc>
        <w:tc>
          <w:tcPr>
            <w:tcW w:w="1418" w:type="dxa"/>
          </w:tcPr>
          <w:p w:rsidR="006A353F"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 xml:space="preserve">4) Майданчик перед входом, а також пандус, сходи, піднімальні пристрої для людей з інвалідністю захищені від атмосферних опадів; </w:t>
            </w:r>
          </w:p>
        </w:tc>
        <w:tc>
          <w:tcPr>
            <w:tcW w:w="1418" w:type="dxa"/>
          </w:tcPr>
          <w:p w:rsidR="006A353F" w:rsidRDefault="00CA435C">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5) відсутні перешкоди (решітка з розміром чарунок більшими за 0,015х0,015 м / щітка для витирання ніг, рівень верху яких не співпадає з рівнем підлоги) та перепади висоти підлоги на вході;</w:t>
            </w:r>
          </w:p>
        </w:tc>
        <w:tc>
          <w:tcPr>
            <w:tcW w:w="1418" w:type="dxa"/>
          </w:tcPr>
          <w:p w:rsidR="006A353F"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6A353F" w:rsidRDefault="006A353F">
            <w:pPr>
              <w:rPr>
                <w:rFonts w:ascii="Times New Roman" w:hAnsi="Times New Roman" w:cs="Times New Roman"/>
                <w:sz w:val="28"/>
                <w:szCs w:val="28"/>
              </w:rPr>
            </w:pPr>
          </w:p>
        </w:tc>
      </w:tr>
      <w:tr w:rsidR="00F836DD" w:rsidTr="006A41C0">
        <w:tc>
          <w:tcPr>
            <w:tcW w:w="599" w:type="dxa"/>
            <w:vMerge/>
          </w:tcPr>
          <w:p w:rsidR="00F836DD" w:rsidRDefault="00F836DD">
            <w:pPr>
              <w:rPr>
                <w:rFonts w:ascii="Times New Roman" w:hAnsi="Times New Roman" w:cs="Times New Roman"/>
                <w:sz w:val="28"/>
                <w:szCs w:val="28"/>
              </w:rPr>
            </w:pPr>
          </w:p>
        </w:tc>
        <w:tc>
          <w:tcPr>
            <w:tcW w:w="6739" w:type="dxa"/>
          </w:tcPr>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6) У разі наявності турнікета, його ширина у просвіті становить не менше 1 метра.</w:t>
            </w:r>
          </w:p>
        </w:tc>
        <w:tc>
          <w:tcPr>
            <w:tcW w:w="1418" w:type="dxa"/>
          </w:tcPr>
          <w:p w:rsidR="00F836DD" w:rsidRDefault="00F836DD">
            <w:pPr>
              <w:rPr>
                <w:rFonts w:ascii="Times New Roman" w:hAnsi="Times New Roman" w:cs="Times New Roman"/>
                <w:sz w:val="28"/>
                <w:szCs w:val="28"/>
              </w:rPr>
            </w:pPr>
          </w:p>
        </w:tc>
        <w:tc>
          <w:tcPr>
            <w:tcW w:w="1133" w:type="dxa"/>
          </w:tcPr>
          <w:p w:rsidR="00F836DD" w:rsidRDefault="00F836DD" w:rsidP="004D2E1D">
            <w:pPr>
              <w:rPr>
                <w:rFonts w:ascii="Times New Roman" w:hAnsi="Times New Roman" w:cs="Times New Roman"/>
                <w:sz w:val="28"/>
                <w:szCs w:val="28"/>
              </w:rPr>
            </w:pPr>
            <w:r>
              <w:rPr>
                <w:rFonts w:ascii="Times New Roman" w:hAnsi="Times New Roman" w:cs="Times New Roman"/>
                <w:sz w:val="28"/>
                <w:szCs w:val="28"/>
              </w:rPr>
              <w:t>відсутній</w:t>
            </w:r>
          </w:p>
        </w:tc>
      </w:tr>
      <w:tr w:rsidR="00F836DD" w:rsidRPr="00EC1B41" w:rsidTr="006A41C0">
        <w:tc>
          <w:tcPr>
            <w:tcW w:w="599" w:type="dxa"/>
            <w:vMerge w:val="restart"/>
          </w:tcPr>
          <w:p w:rsidR="00F836DD" w:rsidRPr="006576C5" w:rsidRDefault="00F836DD">
            <w:pPr>
              <w:rPr>
                <w:rFonts w:ascii="Times New Roman" w:hAnsi="Times New Roman" w:cs="Times New Roman"/>
                <w:b/>
                <w:sz w:val="28"/>
                <w:szCs w:val="28"/>
              </w:rPr>
            </w:pPr>
            <w:r w:rsidRPr="006576C5">
              <w:rPr>
                <w:rFonts w:ascii="Times New Roman" w:hAnsi="Times New Roman" w:cs="Times New Roman"/>
                <w:b/>
                <w:sz w:val="28"/>
                <w:szCs w:val="28"/>
              </w:rPr>
              <w:t>3</w:t>
            </w:r>
          </w:p>
        </w:tc>
        <w:tc>
          <w:tcPr>
            <w:tcW w:w="6739" w:type="dxa"/>
          </w:tcPr>
          <w:p w:rsidR="00F836DD" w:rsidRPr="006A353F" w:rsidRDefault="00F836DD" w:rsidP="00EF0081">
            <w:pPr>
              <w:jc w:val="both"/>
              <w:rPr>
                <w:rFonts w:ascii="Times New Roman" w:hAnsi="Times New Roman" w:cs="Times New Roman"/>
                <w:b/>
                <w:sz w:val="28"/>
                <w:szCs w:val="28"/>
              </w:rPr>
            </w:pPr>
            <w:r w:rsidRPr="006A353F">
              <w:rPr>
                <w:rFonts w:ascii="Times New Roman" w:hAnsi="Times New Roman" w:cs="Times New Roman"/>
                <w:b/>
                <w:sz w:val="28"/>
                <w:szCs w:val="28"/>
              </w:rPr>
              <w:t>Шляхи руху всередині будівлі і приміщення  (окрім технічних та допоміжних приміщень, доступ до яких стороннім особам не передбачено)</w:t>
            </w:r>
          </w:p>
        </w:tc>
        <w:tc>
          <w:tcPr>
            <w:tcW w:w="1418" w:type="dxa"/>
          </w:tcPr>
          <w:p w:rsidR="00F836DD" w:rsidRDefault="00F836DD">
            <w:pPr>
              <w:rPr>
                <w:rFonts w:ascii="Times New Roman" w:hAnsi="Times New Roman" w:cs="Times New Roman"/>
                <w:sz w:val="28"/>
                <w:szCs w:val="28"/>
              </w:rPr>
            </w:pPr>
          </w:p>
        </w:tc>
        <w:tc>
          <w:tcPr>
            <w:tcW w:w="1133" w:type="dxa"/>
          </w:tcPr>
          <w:p w:rsidR="00F836DD" w:rsidRDefault="00F836DD">
            <w:pPr>
              <w:rPr>
                <w:rFonts w:ascii="Times New Roman" w:hAnsi="Times New Roman" w:cs="Times New Roman"/>
                <w:sz w:val="28"/>
                <w:szCs w:val="28"/>
              </w:rPr>
            </w:pPr>
          </w:p>
        </w:tc>
      </w:tr>
      <w:tr w:rsidR="00F836DD" w:rsidTr="006A41C0">
        <w:tc>
          <w:tcPr>
            <w:tcW w:w="599" w:type="dxa"/>
            <w:vMerge/>
          </w:tcPr>
          <w:p w:rsidR="00F836DD" w:rsidRDefault="00F836DD">
            <w:pPr>
              <w:rPr>
                <w:rFonts w:ascii="Times New Roman" w:hAnsi="Times New Roman" w:cs="Times New Roman"/>
                <w:sz w:val="28"/>
                <w:szCs w:val="28"/>
              </w:rPr>
            </w:pPr>
          </w:p>
        </w:tc>
        <w:tc>
          <w:tcPr>
            <w:tcW w:w="6739" w:type="dxa"/>
          </w:tcPr>
          <w:p w:rsidR="00F836DD" w:rsidRDefault="00F836DD" w:rsidP="006A353F">
            <w:pPr>
              <w:jc w:val="both"/>
              <w:rPr>
                <w:rFonts w:ascii="Times New Roman" w:hAnsi="Times New Roman" w:cs="Times New Roman"/>
                <w:sz w:val="28"/>
                <w:szCs w:val="28"/>
              </w:rPr>
            </w:pPr>
            <w:r>
              <w:rPr>
                <w:rFonts w:ascii="Times New Roman" w:hAnsi="Times New Roman" w:cs="Times New Roman"/>
                <w:sz w:val="28"/>
                <w:szCs w:val="28"/>
              </w:rPr>
              <w:t xml:space="preserve">1) У разі наявності на шляхах руху осіб з інвалідністю та інших мало мобільних груп населення сходів, вони </w:t>
            </w:r>
            <w:proofErr w:type="spellStart"/>
            <w:r>
              <w:rPr>
                <w:rFonts w:ascii="Times New Roman" w:hAnsi="Times New Roman" w:cs="Times New Roman"/>
                <w:sz w:val="28"/>
                <w:szCs w:val="28"/>
              </w:rPr>
              <w:t>продубльовані</w:t>
            </w:r>
            <w:proofErr w:type="spellEnd"/>
            <w:r>
              <w:rPr>
                <w:rFonts w:ascii="Times New Roman" w:hAnsi="Times New Roman" w:cs="Times New Roman"/>
                <w:sz w:val="28"/>
                <w:szCs w:val="28"/>
              </w:rPr>
              <w:t xml:space="preserve"> пандусом. Нахил пандусу становить не більше ніж 8 відсотків (на 1 метр довжини не більше 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 що відповідають вимогам державних стандартів, які встановлюють вимоги до зазначеного обладнання.</w:t>
            </w:r>
          </w:p>
          <w:p w:rsidR="00F836DD" w:rsidRDefault="00F836DD" w:rsidP="006A353F">
            <w:pPr>
              <w:jc w:val="both"/>
              <w:rPr>
                <w:rFonts w:ascii="Times New Roman" w:hAnsi="Times New Roman" w:cs="Times New Roman"/>
                <w:sz w:val="28"/>
                <w:szCs w:val="28"/>
              </w:rPr>
            </w:pPr>
            <w:r>
              <w:rPr>
                <w:rFonts w:ascii="Times New Roman" w:hAnsi="Times New Roman" w:cs="Times New Roman"/>
                <w:sz w:val="28"/>
                <w:szCs w:val="28"/>
              </w:rPr>
              <w:t>Всі сходи в межах одного маршу однакові за формою в плані, за шириною сходинки і висотою підйому сходинок;</w:t>
            </w:r>
          </w:p>
        </w:tc>
        <w:tc>
          <w:tcPr>
            <w:tcW w:w="1418" w:type="dxa"/>
          </w:tcPr>
          <w:p w:rsidR="00F836DD" w:rsidRDefault="00F836DD">
            <w:pPr>
              <w:rPr>
                <w:rFonts w:ascii="Times New Roman" w:hAnsi="Times New Roman" w:cs="Times New Roman"/>
                <w:sz w:val="28"/>
                <w:szCs w:val="28"/>
              </w:rPr>
            </w:pPr>
          </w:p>
        </w:tc>
        <w:tc>
          <w:tcPr>
            <w:tcW w:w="1133" w:type="dxa"/>
          </w:tcPr>
          <w:p w:rsidR="00F836DD" w:rsidRDefault="00F836DD" w:rsidP="004D2E1D">
            <w:pPr>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ідсутні</w:t>
            </w:r>
            <w:r>
              <w:rPr>
                <w:rFonts w:ascii="Times New Roman" w:hAnsi="Times New Roman" w:cs="Times New Roman"/>
                <w:sz w:val="28"/>
                <w:szCs w:val="28"/>
              </w:rPr>
              <w:t xml:space="preserve"> сходи</w:t>
            </w:r>
          </w:p>
          <w:p w:rsidR="00F836DD" w:rsidRDefault="00F836DD" w:rsidP="004D2E1D">
            <w:pPr>
              <w:rPr>
                <w:rFonts w:ascii="Times New Roman" w:hAnsi="Times New Roman" w:cs="Times New Roman"/>
                <w:sz w:val="28"/>
                <w:szCs w:val="28"/>
              </w:rPr>
            </w:pPr>
          </w:p>
        </w:tc>
      </w:tr>
      <w:tr w:rsidR="00F836DD" w:rsidTr="006A41C0">
        <w:tc>
          <w:tcPr>
            <w:tcW w:w="599" w:type="dxa"/>
            <w:vMerge/>
          </w:tcPr>
          <w:p w:rsidR="00F836DD" w:rsidRDefault="00F836DD">
            <w:pPr>
              <w:rPr>
                <w:rFonts w:ascii="Times New Roman" w:hAnsi="Times New Roman" w:cs="Times New Roman"/>
                <w:sz w:val="28"/>
                <w:szCs w:val="28"/>
              </w:rPr>
            </w:pPr>
          </w:p>
        </w:tc>
        <w:tc>
          <w:tcPr>
            <w:tcW w:w="6739" w:type="dxa"/>
          </w:tcPr>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xml:space="preserve">2) Дверні отвори (у разі їх наявності на шляхах руху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без порогів і перепадів висот, ширина дверних отворів становить не менше ніж 0,9 метра. За наявності порогів висота кожного елемента порога не перевищує 0,02 м. Кути порогів заокруглені. Усі пороги контрастно виділені;</w:t>
            </w:r>
          </w:p>
        </w:tc>
        <w:tc>
          <w:tcPr>
            <w:tcW w:w="1418" w:type="dxa"/>
          </w:tcPr>
          <w:p w:rsidR="00F836DD" w:rsidRDefault="00F836DD">
            <w:pPr>
              <w:rPr>
                <w:rFonts w:ascii="Times New Roman" w:hAnsi="Times New Roman" w:cs="Times New Roman"/>
                <w:sz w:val="28"/>
                <w:szCs w:val="28"/>
              </w:rPr>
            </w:pPr>
            <w:r>
              <w:rPr>
                <w:rFonts w:ascii="Times New Roman" w:hAnsi="Times New Roman" w:cs="Times New Roman"/>
                <w:sz w:val="28"/>
                <w:szCs w:val="28"/>
              </w:rPr>
              <w:t xml:space="preserve">Так </w:t>
            </w:r>
          </w:p>
        </w:tc>
        <w:tc>
          <w:tcPr>
            <w:tcW w:w="1133" w:type="dxa"/>
          </w:tcPr>
          <w:p w:rsidR="00F836DD" w:rsidRDefault="00F836DD">
            <w:pPr>
              <w:rPr>
                <w:rFonts w:ascii="Times New Roman" w:hAnsi="Times New Roman" w:cs="Times New Roman"/>
                <w:sz w:val="28"/>
                <w:szCs w:val="28"/>
              </w:rPr>
            </w:pPr>
          </w:p>
        </w:tc>
      </w:tr>
      <w:tr w:rsidR="00F836DD" w:rsidTr="006A41C0">
        <w:tc>
          <w:tcPr>
            <w:tcW w:w="599" w:type="dxa"/>
            <w:vMerge/>
          </w:tcPr>
          <w:p w:rsidR="00F836DD" w:rsidRDefault="00F836DD">
            <w:pPr>
              <w:rPr>
                <w:rFonts w:ascii="Times New Roman" w:hAnsi="Times New Roman" w:cs="Times New Roman"/>
                <w:sz w:val="28"/>
                <w:szCs w:val="28"/>
              </w:rPr>
            </w:pPr>
          </w:p>
        </w:tc>
        <w:tc>
          <w:tcPr>
            <w:tcW w:w="6739" w:type="dxa"/>
          </w:tcPr>
          <w:p w:rsidR="00F836DD" w:rsidRDefault="00F836DD" w:rsidP="00A92467">
            <w:pPr>
              <w:jc w:val="both"/>
              <w:rPr>
                <w:rFonts w:ascii="Times New Roman" w:hAnsi="Times New Roman" w:cs="Times New Roman"/>
                <w:sz w:val="28"/>
                <w:szCs w:val="28"/>
              </w:rPr>
            </w:pPr>
            <w:r>
              <w:rPr>
                <w:rFonts w:ascii="Times New Roman" w:hAnsi="Times New Roman" w:cs="Times New Roman"/>
                <w:sz w:val="28"/>
                <w:szCs w:val="28"/>
              </w:rPr>
              <w:t xml:space="preserve">3) Шляхи руху оснащені засобами орієнтування та інформування для осіб з порушенням зору (зокрема тактильні та візуальні елементи доступності, позначення кольором сходинок, порогів, елементів обладнання, прозорих елементів конструкцій, інших об’єктів) та для осіб з порушенням слуху (зокрема пристрої для забезпечення текстового або  </w:t>
            </w:r>
            <w:proofErr w:type="spellStart"/>
            <w:r>
              <w:rPr>
                <w:rFonts w:ascii="Times New Roman" w:hAnsi="Times New Roman" w:cs="Times New Roman"/>
                <w:sz w:val="28"/>
                <w:szCs w:val="28"/>
              </w:rPr>
              <w:t>відеозв’язку</w:t>
            </w:r>
            <w:proofErr w:type="spellEnd"/>
            <w:r>
              <w:rPr>
                <w:rFonts w:ascii="Times New Roman" w:hAnsi="Times New Roman" w:cs="Times New Roman"/>
                <w:sz w:val="28"/>
                <w:szCs w:val="28"/>
              </w:rPr>
              <w:t>, тощо), що відповідають вимогам державних стандартів;</w:t>
            </w:r>
          </w:p>
        </w:tc>
        <w:tc>
          <w:tcPr>
            <w:tcW w:w="1418" w:type="dxa"/>
          </w:tcPr>
          <w:p w:rsidR="00F836DD" w:rsidRDefault="00F836DD">
            <w:pPr>
              <w:rPr>
                <w:rFonts w:ascii="Times New Roman" w:hAnsi="Times New Roman" w:cs="Times New Roman"/>
                <w:sz w:val="28"/>
                <w:szCs w:val="28"/>
              </w:rPr>
            </w:pPr>
            <w:r>
              <w:rPr>
                <w:rFonts w:ascii="Times New Roman" w:hAnsi="Times New Roman" w:cs="Times New Roman"/>
                <w:sz w:val="28"/>
                <w:szCs w:val="28"/>
              </w:rPr>
              <w:t>Ні</w:t>
            </w:r>
          </w:p>
        </w:tc>
        <w:tc>
          <w:tcPr>
            <w:tcW w:w="1133" w:type="dxa"/>
          </w:tcPr>
          <w:p w:rsidR="00F836DD" w:rsidRDefault="00F836DD">
            <w:pPr>
              <w:rPr>
                <w:rFonts w:ascii="Times New Roman" w:hAnsi="Times New Roman" w:cs="Times New Roman"/>
                <w:sz w:val="28"/>
                <w:szCs w:val="28"/>
              </w:rPr>
            </w:pPr>
          </w:p>
        </w:tc>
      </w:tr>
      <w:tr w:rsidR="00F836DD" w:rsidTr="006A41C0">
        <w:tc>
          <w:tcPr>
            <w:tcW w:w="599" w:type="dxa"/>
            <w:vMerge/>
          </w:tcPr>
          <w:p w:rsidR="00F836DD" w:rsidRDefault="00F836DD">
            <w:pPr>
              <w:rPr>
                <w:rFonts w:ascii="Times New Roman" w:hAnsi="Times New Roman" w:cs="Times New Roman"/>
                <w:sz w:val="28"/>
                <w:szCs w:val="28"/>
              </w:rPr>
            </w:pPr>
          </w:p>
        </w:tc>
        <w:tc>
          <w:tcPr>
            <w:tcW w:w="6739" w:type="dxa"/>
          </w:tcPr>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xml:space="preserve">4) У разі розташування приміщень вище першого поверху (окрім технічних та допоміжних приміщень, доступ до яких стороннім особам не передбачено), будівлі обладнано ліфтом, ескалатором, підйомником тощо, доступним для користування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що відповідають вимогам державних стандартів, які встановлюють вимоги до зазначеного обладнання.</w:t>
            </w:r>
          </w:p>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xml:space="preserve">Кнопки ліфтів </w:t>
            </w:r>
            <w:proofErr w:type="spellStart"/>
            <w:r>
              <w:rPr>
                <w:rFonts w:ascii="Times New Roman" w:hAnsi="Times New Roman" w:cs="Times New Roman"/>
                <w:sz w:val="28"/>
                <w:szCs w:val="28"/>
              </w:rPr>
              <w:t>облаштовані</w:t>
            </w:r>
            <w:proofErr w:type="spellEnd"/>
            <w:r>
              <w:rPr>
                <w:rFonts w:ascii="Times New Roman" w:hAnsi="Times New Roman" w:cs="Times New Roman"/>
                <w:sz w:val="28"/>
                <w:szCs w:val="28"/>
              </w:rPr>
              <w:t xml:space="preserve"> тактильними позначками, які дублюють текстову інформацію, передбачена наявність звукового сигналізатора. На одвірках входів до ліфта на висоті 1,5м нанесено рельєфні цифри та </w:t>
            </w:r>
            <w:proofErr w:type="spellStart"/>
            <w:r>
              <w:rPr>
                <w:rFonts w:ascii="Times New Roman" w:hAnsi="Times New Roman" w:cs="Times New Roman"/>
                <w:sz w:val="28"/>
                <w:szCs w:val="28"/>
              </w:rPr>
              <w:t>продубльовані</w:t>
            </w:r>
            <w:proofErr w:type="spellEnd"/>
            <w:r>
              <w:rPr>
                <w:rFonts w:ascii="Times New Roman" w:hAnsi="Times New Roman" w:cs="Times New Roman"/>
                <w:sz w:val="28"/>
                <w:szCs w:val="28"/>
              </w:rPr>
              <w:t xml:space="preserve"> шрифтом </w:t>
            </w:r>
            <w:proofErr w:type="spellStart"/>
            <w:r>
              <w:rPr>
                <w:rFonts w:ascii="Times New Roman" w:hAnsi="Times New Roman" w:cs="Times New Roman"/>
                <w:sz w:val="28"/>
                <w:szCs w:val="28"/>
              </w:rPr>
              <w:t>Брайля</w:t>
            </w:r>
            <w:proofErr w:type="spellEnd"/>
            <w:r>
              <w:rPr>
                <w:rFonts w:ascii="Times New Roman" w:hAnsi="Times New Roman" w:cs="Times New Roman"/>
                <w:sz w:val="28"/>
                <w:szCs w:val="28"/>
              </w:rPr>
              <w:t>, що вказують на поверх.</w:t>
            </w:r>
          </w:p>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Ширина дверей ліфта не менше 0,9 метра.</w:t>
            </w:r>
          </w:p>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xml:space="preserve">Висота розташування зовнішньої кнопки виклику та </w:t>
            </w:r>
            <w:r>
              <w:rPr>
                <w:rFonts w:ascii="Times New Roman" w:hAnsi="Times New Roman" w:cs="Times New Roman"/>
                <w:sz w:val="28"/>
                <w:szCs w:val="28"/>
              </w:rPr>
              <w:lastRenderedPageBreak/>
              <w:t>висота розташування кнопок керування ліфтом від 900 мм до 1100 мм від підлоги кабіни і поверхової площадки.</w:t>
            </w:r>
          </w:p>
        </w:tc>
        <w:tc>
          <w:tcPr>
            <w:tcW w:w="1418" w:type="dxa"/>
          </w:tcPr>
          <w:p w:rsidR="00F836DD" w:rsidRDefault="00F836DD">
            <w:pPr>
              <w:rPr>
                <w:rFonts w:ascii="Times New Roman" w:hAnsi="Times New Roman" w:cs="Times New Roman"/>
                <w:sz w:val="28"/>
                <w:szCs w:val="28"/>
              </w:rPr>
            </w:pPr>
          </w:p>
        </w:tc>
        <w:tc>
          <w:tcPr>
            <w:tcW w:w="1133" w:type="dxa"/>
          </w:tcPr>
          <w:p w:rsidR="00F836DD" w:rsidRDefault="00F836DD">
            <w:pPr>
              <w:rPr>
                <w:rFonts w:ascii="Times New Roman" w:hAnsi="Times New Roman" w:cs="Times New Roman"/>
                <w:sz w:val="28"/>
                <w:szCs w:val="28"/>
              </w:rPr>
            </w:pPr>
            <w:r>
              <w:rPr>
                <w:rFonts w:ascii="Times New Roman" w:hAnsi="Times New Roman" w:cs="Times New Roman"/>
                <w:sz w:val="28"/>
                <w:szCs w:val="28"/>
              </w:rPr>
              <w:t>1 поверх</w:t>
            </w:r>
          </w:p>
        </w:tc>
      </w:tr>
      <w:tr w:rsidR="00F836DD" w:rsidTr="006A41C0">
        <w:tc>
          <w:tcPr>
            <w:tcW w:w="599" w:type="dxa"/>
            <w:vMerge/>
          </w:tcPr>
          <w:p w:rsidR="00F836DD" w:rsidRDefault="00F836DD">
            <w:pPr>
              <w:rPr>
                <w:rFonts w:ascii="Times New Roman" w:hAnsi="Times New Roman" w:cs="Times New Roman"/>
                <w:sz w:val="28"/>
                <w:szCs w:val="28"/>
              </w:rPr>
            </w:pPr>
          </w:p>
        </w:tc>
        <w:tc>
          <w:tcPr>
            <w:tcW w:w="6739" w:type="dxa"/>
          </w:tcPr>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xml:space="preserve">5) Санітарно-гігієнічні приміщення розраховані на осіб з інвалідністю та інші </w:t>
            </w:r>
            <w:proofErr w:type="spellStart"/>
            <w:r>
              <w:rPr>
                <w:rFonts w:ascii="Times New Roman" w:hAnsi="Times New Roman" w:cs="Times New Roman"/>
                <w:sz w:val="28"/>
                <w:szCs w:val="28"/>
              </w:rPr>
              <w:t>маломобільні</w:t>
            </w:r>
            <w:proofErr w:type="spellEnd"/>
            <w:r>
              <w:rPr>
                <w:rFonts w:ascii="Times New Roman" w:hAnsi="Times New Roman" w:cs="Times New Roman"/>
                <w:sz w:val="28"/>
                <w:szCs w:val="28"/>
              </w:rPr>
              <w:t xml:space="preserve"> групи населення.</w:t>
            </w:r>
          </w:p>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У туалетах загального користування (у разі їх наявності) (окремо для чоловіків і жінок) виконано універсальну кабіну з можливістю заїзду до неї та переміщення в ній осіб у кріслах колісних.</w:t>
            </w:r>
          </w:p>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Окремі санітарно-гігієнічні приміщення (з окремим входом) обладнані аварійною (тривожною) сигналізацією з врахуванням осіб з інвалідністю з порушенням зору та слуху. Привод сигналізації розташовано в межах між 0,8-1,1 м над рівнем підлоги;</w:t>
            </w:r>
          </w:p>
        </w:tc>
        <w:tc>
          <w:tcPr>
            <w:tcW w:w="1418" w:type="dxa"/>
          </w:tcPr>
          <w:p w:rsidR="00F836DD" w:rsidRDefault="00F836DD">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F836DD" w:rsidRDefault="00F836DD">
            <w:pPr>
              <w:rPr>
                <w:rFonts w:ascii="Times New Roman" w:hAnsi="Times New Roman" w:cs="Times New Roman"/>
                <w:sz w:val="28"/>
                <w:szCs w:val="28"/>
              </w:rPr>
            </w:pPr>
          </w:p>
        </w:tc>
      </w:tr>
      <w:tr w:rsidR="00F836DD" w:rsidTr="006A41C0">
        <w:tc>
          <w:tcPr>
            <w:tcW w:w="599" w:type="dxa"/>
            <w:vMerge/>
          </w:tcPr>
          <w:p w:rsidR="00F836DD" w:rsidRDefault="00F836DD">
            <w:pPr>
              <w:rPr>
                <w:rFonts w:ascii="Times New Roman" w:hAnsi="Times New Roman" w:cs="Times New Roman"/>
                <w:sz w:val="28"/>
                <w:szCs w:val="28"/>
              </w:rPr>
            </w:pPr>
          </w:p>
        </w:tc>
        <w:tc>
          <w:tcPr>
            <w:tcW w:w="6739" w:type="dxa"/>
          </w:tcPr>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xml:space="preserve">6) Для зручності осіб з інвалідністю міжнародним знаком доступності позначено: </w:t>
            </w:r>
          </w:p>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xml:space="preserve">- шляхи/напрямки, доступні й безпечні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місце розташування пандуса (у разі його наявності);</w:t>
            </w:r>
          </w:p>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xml:space="preserve">- місце розташування санітарно-гігієнічного приміщення, доступного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p w:rsidR="00F836DD" w:rsidRDefault="00F836DD" w:rsidP="008448BA">
            <w:pPr>
              <w:jc w:val="both"/>
              <w:rPr>
                <w:rFonts w:ascii="Times New Roman" w:hAnsi="Times New Roman" w:cs="Times New Roman"/>
                <w:sz w:val="28"/>
                <w:szCs w:val="28"/>
              </w:rPr>
            </w:pPr>
            <w:r>
              <w:rPr>
                <w:rFonts w:ascii="Times New Roman" w:hAnsi="Times New Roman" w:cs="Times New Roman"/>
                <w:sz w:val="28"/>
                <w:szCs w:val="28"/>
              </w:rPr>
              <w:t xml:space="preserve">- напрямок руху до евакуаційних шляхів та виходів, доступних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tc>
        <w:tc>
          <w:tcPr>
            <w:tcW w:w="1418" w:type="dxa"/>
          </w:tcPr>
          <w:p w:rsidR="00F836DD" w:rsidRDefault="00F836DD">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F836DD" w:rsidRDefault="00F836DD">
            <w:pPr>
              <w:rPr>
                <w:rFonts w:ascii="Times New Roman" w:hAnsi="Times New Roman" w:cs="Times New Roman"/>
                <w:sz w:val="28"/>
                <w:szCs w:val="28"/>
              </w:rPr>
            </w:pPr>
          </w:p>
        </w:tc>
      </w:tr>
      <w:tr w:rsidR="00F836DD" w:rsidTr="006A41C0">
        <w:tc>
          <w:tcPr>
            <w:tcW w:w="599" w:type="dxa"/>
            <w:vMerge/>
          </w:tcPr>
          <w:p w:rsidR="00F836DD" w:rsidRDefault="00F836DD">
            <w:pPr>
              <w:rPr>
                <w:rFonts w:ascii="Times New Roman" w:hAnsi="Times New Roman" w:cs="Times New Roman"/>
                <w:sz w:val="28"/>
                <w:szCs w:val="28"/>
              </w:rPr>
            </w:pPr>
          </w:p>
        </w:tc>
        <w:tc>
          <w:tcPr>
            <w:tcW w:w="6739" w:type="dxa"/>
          </w:tcPr>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7) За визначеної потреби на вході/виході до/з будівлі встановлено план-схему, що сприятиме самостійній навігації (орієнтуванню) на об’єкті. Відповідна схема виконана в доступних форматах;</w:t>
            </w:r>
          </w:p>
        </w:tc>
        <w:tc>
          <w:tcPr>
            <w:tcW w:w="1418" w:type="dxa"/>
          </w:tcPr>
          <w:p w:rsidR="00F836DD" w:rsidRDefault="00F836DD">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F836DD" w:rsidRPr="006A41C0" w:rsidRDefault="00F836DD">
            <w:pPr>
              <w:rPr>
                <w:rFonts w:ascii="Times New Roman" w:hAnsi="Times New Roman" w:cs="Times New Roman"/>
                <w:sz w:val="20"/>
                <w:szCs w:val="20"/>
              </w:rPr>
            </w:pPr>
          </w:p>
        </w:tc>
      </w:tr>
      <w:tr w:rsidR="00F836DD" w:rsidTr="006A41C0">
        <w:tc>
          <w:tcPr>
            <w:tcW w:w="599" w:type="dxa"/>
            <w:vMerge/>
          </w:tcPr>
          <w:p w:rsidR="00F836DD" w:rsidRDefault="00F836DD">
            <w:pPr>
              <w:rPr>
                <w:rFonts w:ascii="Times New Roman" w:hAnsi="Times New Roman" w:cs="Times New Roman"/>
                <w:sz w:val="28"/>
                <w:szCs w:val="28"/>
              </w:rPr>
            </w:pPr>
          </w:p>
        </w:tc>
        <w:tc>
          <w:tcPr>
            <w:tcW w:w="6739" w:type="dxa"/>
          </w:tcPr>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xml:space="preserve">8) У приміщеннях (окрім технічних та допоміжних приміщень, доступ до яких стороннім особам не передбачено), на шляхах руху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штучне освітлення відповідає вимогам санітарних норм;</w:t>
            </w:r>
          </w:p>
        </w:tc>
        <w:tc>
          <w:tcPr>
            <w:tcW w:w="1418" w:type="dxa"/>
          </w:tcPr>
          <w:p w:rsidR="00F836DD" w:rsidRDefault="00F836DD">
            <w:pPr>
              <w:rPr>
                <w:rFonts w:ascii="Times New Roman" w:hAnsi="Times New Roman" w:cs="Times New Roman"/>
                <w:sz w:val="28"/>
                <w:szCs w:val="28"/>
              </w:rPr>
            </w:pPr>
            <w:r>
              <w:rPr>
                <w:rFonts w:ascii="Times New Roman" w:hAnsi="Times New Roman" w:cs="Times New Roman"/>
                <w:sz w:val="28"/>
                <w:szCs w:val="28"/>
              </w:rPr>
              <w:t xml:space="preserve">Так </w:t>
            </w:r>
          </w:p>
        </w:tc>
        <w:tc>
          <w:tcPr>
            <w:tcW w:w="1133" w:type="dxa"/>
          </w:tcPr>
          <w:p w:rsidR="00F836DD" w:rsidRDefault="00F836DD">
            <w:pPr>
              <w:rPr>
                <w:rFonts w:ascii="Times New Roman" w:hAnsi="Times New Roman" w:cs="Times New Roman"/>
                <w:sz w:val="28"/>
                <w:szCs w:val="28"/>
              </w:rPr>
            </w:pPr>
          </w:p>
        </w:tc>
      </w:tr>
      <w:tr w:rsidR="00F836DD" w:rsidTr="006A41C0">
        <w:tc>
          <w:tcPr>
            <w:tcW w:w="599" w:type="dxa"/>
            <w:vMerge/>
          </w:tcPr>
          <w:p w:rsidR="00F836DD" w:rsidRDefault="00F836DD">
            <w:pPr>
              <w:rPr>
                <w:rFonts w:ascii="Times New Roman" w:hAnsi="Times New Roman" w:cs="Times New Roman"/>
                <w:sz w:val="28"/>
                <w:szCs w:val="28"/>
              </w:rPr>
            </w:pPr>
          </w:p>
        </w:tc>
        <w:tc>
          <w:tcPr>
            <w:tcW w:w="6739" w:type="dxa"/>
          </w:tcPr>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xml:space="preserve">9) Ширина шляху руху в коридорах, приміщеннях (окрім технічних та допоміжних приміщень, доступ до яких стороннім особам не передбачено), галереях на шляхах руху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у чистоті не менша:</w:t>
            </w:r>
          </w:p>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при русі в одному напрямку 1,5 м;</w:t>
            </w:r>
          </w:p>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xml:space="preserve">- при зустрічному русі 1,8 м. </w:t>
            </w:r>
          </w:p>
        </w:tc>
        <w:tc>
          <w:tcPr>
            <w:tcW w:w="1418" w:type="dxa"/>
          </w:tcPr>
          <w:p w:rsidR="00F836DD" w:rsidRDefault="00F836DD">
            <w:pPr>
              <w:rPr>
                <w:rFonts w:ascii="Times New Roman" w:hAnsi="Times New Roman" w:cs="Times New Roman"/>
                <w:sz w:val="28"/>
                <w:szCs w:val="28"/>
              </w:rPr>
            </w:pPr>
            <w:r>
              <w:rPr>
                <w:rFonts w:ascii="Times New Roman" w:hAnsi="Times New Roman" w:cs="Times New Roman"/>
                <w:sz w:val="28"/>
                <w:szCs w:val="28"/>
              </w:rPr>
              <w:t xml:space="preserve">Так </w:t>
            </w:r>
          </w:p>
        </w:tc>
        <w:tc>
          <w:tcPr>
            <w:tcW w:w="1133" w:type="dxa"/>
          </w:tcPr>
          <w:p w:rsidR="00F836DD" w:rsidRDefault="00F836DD">
            <w:pPr>
              <w:rPr>
                <w:rFonts w:ascii="Times New Roman" w:hAnsi="Times New Roman" w:cs="Times New Roman"/>
                <w:sz w:val="28"/>
                <w:szCs w:val="28"/>
              </w:rPr>
            </w:pPr>
          </w:p>
        </w:tc>
      </w:tr>
      <w:tr w:rsidR="00F836DD" w:rsidTr="006A41C0">
        <w:tc>
          <w:tcPr>
            <w:tcW w:w="7338" w:type="dxa"/>
            <w:gridSpan w:val="2"/>
          </w:tcPr>
          <w:p w:rsidR="00F836DD" w:rsidRDefault="00F836DD" w:rsidP="00EF0081">
            <w:pPr>
              <w:jc w:val="both"/>
              <w:rPr>
                <w:rFonts w:ascii="Times New Roman" w:hAnsi="Times New Roman" w:cs="Times New Roman"/>
                <w:sz w:val="28"/>
                <w:szCs w:val="28"/>
              </w:rPr>
            </w:pPr>
            <w:r>
              <w:rPr>
                <w:rFonts w:ascii="Times New Roman" w:hAnsi="Times New Roman" w:cs="Times New Roman"/>
                <w:sz w:val="28"/>
                <w:szCs w:val="28"/>
              </w:rPr>
              <w:t xml:space="preserve">Доступність забезпечено (в разі відповідності </w:t>
            </w:r>
            <w:r w:rsidRPr="00F472DC">
              <w:rPr>
                <w:rFonts w:ascii="Times New Roman" w:hAnsi="Times New Roman" w:cs="Times New Roman"/>
                <w:b/>
                <w:sz w:val="28"/>
                <w:szCs w:val="28"/>
              </w:rPr>
              <w:t>усім</w:t>
            </w:r>
            <w:r>
              <w:rPr>
                <w:rFonts w:ascii="Times New Roman" w:hAnsi="Times New Roman" w:cs="Times New Roman"/>
                <w:sz w:val="28"/>
                <w:szCs w:val="28"/>
              </w:rPr>
              <w:t xml:space="preserve"> наведеним критеріям)</w:t>
            </w:r>
          </w:p>
        </w:tc>
        <w:tc>
          <w:tcPr>
            <w:tcW w:w="2551" w:type="dxa"/>
            <w:gridSpan w:val="2"/>
          </w:tcPr>
          <w:p w:rsidR="00F836DD" w:rsidRDefault="00F836DD">
            <w:pPr>
              <w:rPr>
                <w:rFonts w:ascii="Times New Roman" w:hAnsi="Times New Roman" w:cs="Times New Roman"/>
                <w:sz w:val="28"/>
                <w:szCs w:val="28"/>
              </w:rPr>
            </w:pPr>
            <w:r>
              <w:rPr>
                <w:rFonts w:ascii="Times New Roman" w:hAnsi="Times New Roman" w:cs="Times New Roman"/>
                <w:sz w:val="28"/>
                <w:szCs w:val="28"/>
              </w:rPr>
              <w:t>Доступність забезпечено частково</w:t>
            </w:r>
          </w:p>
        </w:tc>
      </w:tr>
    </w:tbl>
    <w:p w:rsidR="00097422" w:rsidRPr="00097422" w:rsidRDefault="00097422" w:rsidP="00E36808">
      <w:pPr>
        <w:rPr>
          <w:rFonts w:ascii="Times New Roman" w:hAnsi="Times New Roman" w:cs="Times New Roman"/>
          <w:sz w:val="28"/>
          <w:szCs w:val="28"/>
        </w:rPr>
      </w:pPr>
    </w:p>
    <w:sectPr w:rsidR="00097422" w:rsidRPr="00097422" w:rsidSect="00E36808">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97422"/>
    <w:rsid w:val="00097422"/>
    <w:rsid w:val="00322C01"/>
    <w:rsid w:val="004C47D7"/>
    <w:rsid w:val="005B32C7"/>
    <w:rsid w:val="005C5AAA"/>
    <w:rsid w:val="006576C5"/>
    <w:rsid w:val="006A353F"/>
    <w:rsid w:val="006A41C0"/>
    <w:rsid w:val="008448BA"/>
    <w:rsid w:val="00897A77"/>
    <w:rsid w:val="008E3EEA"/>
    <w:rsid w:val="00A92467"/>
    <w:rsid w:val="00BF22DB"/>
    <w:rsid w:val="00CA435C"/>
    <w:rsid w:val="00D8172E"/>
    <w:rsid w:val="00E03411"/>
    <w:rsid w:val="00E36808"/>
    <w:rsid w:val="00EC1B41"/>
    <w:rsid w:val="00EF0081"/>
    <w:rsid w:val="00F472DC"/>
    <w:rsid w:val="00F53684"/>
    <w:rsid w:val="00F836DD"/>
    <w:rsid w:val="00FD78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422"/>
    <w:pPr>
      <w:spacing w:after="0" w:line="240" w:lineRule="auto"/>
    </w:pPr>
  </w:style>
  <w:style w:type="table" w:styleId="a4">
    <w:name w:val="Table Grid"/>
    <w:basedOn w:val="a1"/>
    <w:uiPriority w:val="59"/>
    <w:rsid w:val="00097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5418</Words>
  <Characters>3089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2022-01-05T13:05:00Z</dcterms:created>
  <dcterms:modified xsi:type="dcterms:W3CDTF">2022-01-05T13:05:00Z</dcterms:modified>
</cp:coreProperties>
</file>